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E12" w:rsidRPr="00A7617D" w:rsidRDefault="00E71E12" w:rsidP="00E71E12">
      <w:pPr>
        <w:spacing w:line="240" w:lineRule="auto"/>
        <w:contextualSpacing/>
        <w:jc w:val="center"/>
        <w:rPr>
          <w:b/>
        </w:rPr>
      </w:pPr>
      <w:r w:rsidRPr="00A7617D">
        <w:rPr>
          <w:b/>
        </w:rPr>
        <w:t>Executive Committee Meeting Notes</w:t>
      </w:r>
    </w:p>
    <w:p w:rsidR="00E71E12" w:rsidRDefault="00E71E12" w:rsidP="00E71E12">
      <w:pPr>
        <w:spacing w:line="240" w:lineRule="auto"/>
        <w:contextualSpacing/>
        <w:jc w:val="center"/>
      </w:pPr>
      <w:r w:rsidRPr="00A7617D">
        <w:rPr>
          <w:b/>
        </w:rPr>
        <w:t>September 4, 2015</w:t>
      </w:r>
    </w:p>
    <w:p w:rsidR="00ED3AE7" w:rsidRDefault="00ED3AE7" w:rsidP="00ED3AE7">
      <w:pPr>
        <w:spacing w:line="240" w:lineRule="auto"/>
        <w:contextualSpacing/>
        <w:jc w:val="center"/>
      </w:pPr>
    </w:p>
    <w:p w:rsidR="00E71E12" w:rsidRDefault="00E71E12" w:rsidP="00E71E12">
      <w:pPr>
        <w:spacing w:line="240" w:lineRule="auto"/>
        <w:contextualSpacing/>
      </w:pPr>
    </w:p>
    <w:p w:rsidR="00E71E12" w:rsidRDefault="00E71E12" w:rsidP="00E71E12">
      <w:pPr>
        <w:spacing w:line="240" w:lineRule="auto"/>
        <w:contextualSpacing/>
      </w:pPr>
      <w:r>
        <w:t>Present:  David Allee, Esma Gel, Huan Liu, Keith Holbert (</w:t>
      </w:r>
      <w:proofErr w:type="spellStart"/>
      <w:r>
        <w:t>Secty</w:t>
      </w:r>
      <w:proofErr w:type="spellEnd"/>
      <w:r>
        <w:t xml:space="preserve">), Brent Vernon, Sule Ozev, Narayanan Neithalath, Greg </w:t>
      </w:r>
      <w:proofErr w:type="spellStart"/>
      <w:r>
        <w:t>Raupp</w:t>
      </w:r>
      <w:proofErr w:type="spellEnd"/>
      <w:r>
        <w:t xml:space="preserve">, Marcus Herrmann, Shawn Jordan, </w:t>
      </w:r>
      <w:proofErr w:type="gramStart"/>
      <w:r>
        <w:t>Cy</w:t>
      </w:r>
      <w:proofErr w:type="gramEnd"/>
      <w:r>
        <w:t xml:space="preserve"> Kuo, Xiao Wang</w:t>
      </w:r>
    </w:p>
    <w:p w:rsidR="00E71E12" w:rsidRDefault="00E71E12" w:rsidP="00E71E12">
      <w:pPr>
        <w:spacing w:line="240" w:lineRule="auto"/>
        <w:contextualSpacing/>
      </w:pPr>
    </w:p>
    <w:p w:rsidR="00E71E12" w:rsidRDefault="00E71E12" w:rsidP="00E71E12">
      <w:pPr>
        <w:spacing w:line="240" w:lineRule="auto"/>
        <w:contextualSpacing/>
      </w:pPr>
      <w:r>
        <w:t>Absent:  Kenneth Sullivan</w:t>
      </w:r>
    </w:p>
    <w:p w:rsidR="00E71E12" w:rsidRDefault="00E71E12" w:rsidP="00E71E12">
      <w:pPr>
        <w:spacing w:line="240" w:lineRule="auto"/>
        <w:contextualSpacing/>
      </w:pPr>
    </w:p>
    <w:p w:rsidR="00E71E12" w:rsidRDefault="00E71E12" w:rsidP="00E71E12">
      <w:pPr>
        <w:spacing w:line="240" w:lineRule="auto"/>
        <w:contextualSpacing/>
      </w:pPr>
      <w:r>
        <w:t>Guest:  Interim Dean Kyle Squires</w:t>
      </w:r>
    </w:p>
    <w:p w:rsidR="007039F9" w:rsidRDefault="007039F9" w:rsidP="007039F9">
      <w:pPr>
        <w:rPr>
          <w:color w:val="000000"/>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
        <w:gridCol w:w="2520"/>
        <w:gridCol w:w="2430"/>
        <w:gridCol w:w="2430"/>
      </w:tblGrid>
      <w:tr w:rsidR="00C9215B" w:rsidRPr="00C96A9A" w:rsidTr="00107F76">
        <w:tc>
          <w:tcPr>
            <w:tcW w:w="1080" w:type="dxa"/>
            <w:tcBorders>
              <w:bottom w:val="single" w:sz="12" w:space="0" w:color="auto"/>
            </w:tcBorders>
          </w:tcPr>
          <w:p w:rsidR="00C9215B" w:rsidRPr="00C96A9A" w:rsidRDefault="00C9215B" w:rsidP="007039F9">
            <w:pPr>
              <w:spacing w:after="0" w:line="240" w:lineRule="auto"/>
              <w:rPr>
                <w:color w:val="000000"/>
              </w:rPr>
            </w:pPr>
            <w:r w:rsidRPr="00C96A9A">
              <w:rPr>
                <w:color w:val="000000"/>
              </w:rPr>
              <w:t>School</w:t>
            </w:r>
          </w:p>
        </w:tc>
        <w:tc>
          <w:tcPr>
            <w:tcW w:w="2520" w:type="dxa"/>
            <w:tcBorders>
              <w:bottom w:val="single" w:sz="12" w:space="0" w:color="auto"/>
            </w:tcBorders>
          </w:tcPr>
          <w:p w:rsidR="00C9215B" w:rsidRPr="00C96A9A" w:rsidRDefault="00C9215B" w:rsidP="00D517F7">
            <w:pPr>
              <w:spacing w:after="0" w:line="240" w:lineRule="auto"/>
              <w:rPr>
                <w:color w:val="000000"/>
              </w:rPr>
            </w:pPr>
            <w:r w:rsidRPr="00C96A9A">
              <w:rPr>
                <w:color w:val="000000"/>
              </w:rPr>
              <w:t>Term Began Oct. 201</w:t>
            </w:r>
            <w:r>
              <w:rPr>
                <w:color w:val="000000"/>
              </w:rPr>
              <w:t>3</w:t>
            </w:r>
          </w:p>
        </w:tc>
        <w:tc>
          <w:tcPr>
            <w:tcW w:w="2430" w:type="dxa"/>
            <w:tcBorders>
              <w:bottom w:val="single" w:sz="12" w:space="0" w:color="auto"/>
            </w:tcBorders>
          </w:tcPr>
          <w:p w:rsidR="00C9215B" w:rsidRPr="00C96A9A" w:rsidRDefault="00C9215B" w:rsidP="007039F9">
            <w:pPr>
              <w:spacing w:after="0" w:line="240" w:lineRule="auto"/>
              <w:rPr>
                <w:color w:val="000000"/>
              </w:rPr>
            </w:pPr>
            <w:r w:rsidRPr="00C96A9A">
              <w:rPr>
                <w:color w:val="000000"/>
              </w:rPr>
              <w:t xml:space="preserve">Term </w:t>
            </w:r>
            <w:r>
              <w:rPr>
                <w:color w:val="000000"/>
              </w:rPr>
              <w:t>Began</w:t>
            </w:r>
            <w:r w:rsidRPr="00C96A9A">
              <w:rPr>
                <w:color w:val="000000"/>
              </w:rPr>
              <w:t xml:space="preserve"> Oct. 2014</w:t>
            </w:r>
          </w:p>
        </w:tc>
        <w:tc>
          <w:tcPr>
            <w:tcW w:w="2430" w:type="dxa"/>
            <w:tcBorders>
              <w:bottom w:val="single" w:sz="12" w:space="0" w:color="auto"/>
            </w:tcBorders>
          </w:tcPr>
          <w:p w:rsidR="00C9215B" w:rsidRPr="00C96A9A" w:rsidRDefault="00C9215B" w:rsidP="00C9215B">
            <w:pPr>
              <w:spacing w:after="0" w:line="240" w:lineRule="auto"/>
              <w:rPr>
                <w:color w:val="000000"/>
              </w:rPr>
            </w:pPr>
            <w:r w:rsidRPr="00C96A9A">
              <w:rPr>
                <w:color w:val="000000"/>
              </w:rPr>
              <w:t xml:space="preserve">Term </w:t>
            </w:r>
            <w:r>
              <w:rPr>
                <w:color w:val="000000"/>
              </w:rPr>
              <w:t>Began</w:t>
            </w:r>
            <w:r w:rsidRPr="00C96A9A">
              <w:rPr>
                <w:color w:val="000000"/>
              </w:rPr>
              <w:t xml:space="preserve"> Oct. 201</w:t>
            </w:r>
            <w:r>
              <w:rPr>
                <w:color w:val="000000"/>
              </w:rPr>
              <w:t>5</w:t>
            </w:r>
          </w:p>
        </w:tc>
      </w:tr>
      <w:tr w:rsidR="00C9215B" w:rsidRPr="00C96A9A" w:rsidTr="00107F76">
        <w:tc>
          <w:tcPr>
            <w:tcW w:w="1080" w:type="dxa"/>
            <w:tcBorders>
              <w:top w:val="single" w:sz="12" w:space="0" w:color="auto"/>
            </w:tcBorders>
          </w:tcPr>
          <w:p w:rsidR="00C9215B" w:rsidRPr="00C96A9A" w:rsidRDefault="00C9215B" w:rsidP="007039F9">
            <w:pPr>
              <w:spacing w:after="0" w:line="240" w:lineRule="auto"/>
              <w:rPr>
                <w:color w:val="000000"/>
              </w:rPr>
            </w:pPr>
            <w:r w:rsidRPr="00C96A9A">
              <w:rPr>
                <w:color w:val="000000"/>
              </w:rPr>
              <w:t>SBHSE</w:t>
            </w:r>
          </w:p>
        </w:tc>
        <w:tc>
          <w:tcPr>
            <w:tcW w:w="2520" w:type="dxa"/>
            <w:tcBorders>
              <w:top w:val="single" w:sz="12" w:space="0" w:color="auto"/>
            </w:tcBorders>
          </w:tcPr>
          <w:p w:rsidR="00C9215B" w:rsidRPr="009A08FE" w:rsidRDefault="00C9215B" w:rsidP="007039F9">
            <w:pPr>
              <w:spacing w:after="0" w:line="240" w:lineRule="auto"/>
              <w:rPr>
                <w:color w:val="000000"/>
              </w:rPr>
            </w:pPr>
            <w:r w:rsidRPr="009A08FE">
              <w:rPr>
                <w:color w:val="000000"/>
              </w:rPr>
              <w:t>Vikram Kodibagkar</w:t>
            </w:r>
          </w:p>
        </w:tc>
        <w:tc>
          <w:tcPr>
            <w:tcW w:w="2430" w:type="dxa"/>
            <w:tcBorders>
              <w:top w:val="single" w:sz="12" w:space="0" w:color="auto"/>
            </w:tcBorders>
          </w:tcPr>
          <w:p w:rsidR="00C9215B" w:rsidRPr="003122A5" w:rsidRDefault="00C9215B" w:rsidP="007039F9">
            <w:pPr>
              <w:spacing w:after="0" w:line="240" w:lineRule="auto"/>
              <w:rPr>
                <w:color w:val="000000"/>
              </w:rPr>
            </w:pPr>
            <w:r w:rsidRPr="003122A5">
              <w:rPr>
                <w:color w:val="000000"/>
              </w:rPr>
              <w:t>Xiao Wang</w:t>
            </w:r>
          </w:p>
        </w:tc>
        <w:tc>
          <w:tcPr>
            <w:tcW w:w="2430" w:type="dxa"/>
            <w:tcBorders>
              <w:top w:val="single" w:sz="12" w:space="0" w:color="auto"/>
            </w:tcBorders>
          </w:tcPr>
          <w:p w:rsidR="00C9215B" w:rsidRPr="003122A5" w:rsidRDefault="00AB4688" w:rsidP="007039F9">
            <w:pPr>
              <w:spacing w:after="0" w:line="240" w:lineRule="auto"/>
              <w:rPr>
                <w:color w:val="000000"/>
              </w:rPr>
            </w:pPr>
            <w:r w:rsidRPr="00AB4688">
              <w:rPr>
                <w:color w:val="000000"/>
              </w:rPr>
              <w:t>Brent Vernon</w:t>
            </w:r>
          </w:p>
        </w:tc>
      </w:tr>
      <w:tr w:rsidR="00C9215B" w:rsidRPr="00C96A9A" w:rsidTr="00107F76">
        <w:tc>
          <w:tcPr>
            <w:tcW w:w="1080" w:type="dxa"/>
          </w:tcPr>
          <w:p w:rsidR="00C9215B" w:rsidRPr="00C96A9A" w:rsidRDefault="00C9215B" w:rsidP="007039F9">
            <w:pPr>
              <w:spacing w:after="0" w:line="240" w:lineRule="auto"/>
              <w:rPr>
                <w:color w:val="000000"/>
              </w:rPr>
            </w:pPr>
            <w:r w:rsidRPr="00C96A9A">
              <w:rPr>
                <w:color w:val="000000"/>
              </w:rPr>
              <w:t>SCIDSE</w:t>
            </w:r>
          </w:p>
        </w:tc>
        <w:tc>
          <w:tcPr>
            <w:tcW w:w="2520" w:type="dxa"/>
          </w:tcPr>
          <w:p w:rsidR="00C9215B" w:rsidRPr="009A08FE" w:rsidRDefault="00C9215B" w:rsidP="007039F9">
            <w:pPr>
              <w:spacing w:after="0" w:line="240" w:lineRule="auto"/>
              <w:rPr>
                <w:color w:val="000000"/>
              </w:rPr>
            </w:pPr>
            <w:r w:rsidRPr="009A08FE">
              <w:rPr>
                <w:color w:val="000000"/>
              </w:rPr>
              <w:t>Huan Liu</w:t>
            </w:r>
          </w:p>
        </w:tc>
        <w:tc>
          <w:tcPr>
            <w:tcW w:w="2430" w:type="dxa"/>
          </w:tcPr>
          <w:p w:rsidR="00C9215B" w:rsidRPr="00653B12" w:rsidRDefault="00C9215B" w:rsidP="007039F9">
            <w:pPr>
              <w:spacing w:after="0" w:line="240" w:lineRule="auto"/>
              <w:rPr>
                <w:color w:val="000000"/>
              </w:rPr>
            </w:pPr>
            <w:r w:rsidRPr="00653B12">
              <w:rPr>
                <w:color w:val="000000"/>
              </w:rPr>
              <w:t>Esma Gel</w:t>
            </w:r>
          </w:p>
        </w:tc>
        <w:tc>
          <w:tcPr>
            <w:tcW w:w="2430" w:type="dxa"/>
          </w:tcPr>
          <w:p w:rsidR="00C9215B" w:rsidRPr="00653B12" w:rsidRDefault="00676B81" w:rsidP="007039F9">
            <w:pPr>
              <w:spacing w:after="0" w:line="240" w:lineRule="auto"/>
              <w:rPr>
                <w:color w:val="000000"/>
              </w:rPr>
            </w:pPr>
            <w:proofErr w:type="spellStart"/>
            <w:r w:rsidRPr="00676B81">
              <w:rPr>
                <w:color w:val="000000"/>
              </w:rPr>
              <w:t>Arunhabha</w:t>
            </w:r>
            <w:proofErr w:type="spellEnd"/>
            <w:r w:rsidRPr="00676B81">
              <w:rPr>
                <w:color w:val="000000"/>
              </w:rPr>
              <w:t xml:space="preserve"> Sen</w:t>
            </w:r>
          </w:p>
        </w:tc>
      </w:tr>
      <w:tr w:rsidR="00C9215B" w:rsidRPr="00C96A9A" w:rsidTr="00107F76">
        <w:tc>
          <w:tcPr>
            <w:tcW w:w="1080" w:type="dxa"/>
          </w:tcPr>
          <w:p w:rsidR="00C9215B" w:rsidRPr="00C96A9A" w:rsidRDefault="00C9215B" w:rsidP="007039F9">
            <w:pPr>
              <w:spacing w:after="0" w:line="240" w:lineRule="auto"/>
              <w:rPr>
                <w:color w:val="000000"/>
              </w:rPr>
            </w:pPr>
            <w:r w:rsidRPr="00C96A9A">
              <w:rPr>
                <w:color w:val="000000"/>
              </w:rPr>
              <w:t>SECEE</w:t>
            </w:r>
          </w:p>
        </w:tc>
        <w:tc>
          <w:tcPr>
            <w:tcW w:w="2520" w:type="dxa"/>
          </w:tcPr>
          <w:p w:rsidR="00C9215B" w:rsidRPr="009A08FE" w:rsidRDefault="00C9215B" w:rsidP="007039F9">
            <w:pPr>
              <w:spacing w:after="0" w:line="240" w:lineRule="auto"/>
              <w:rPr>
                <w:color w:val="000000"/>
              </w:rPr>
            </w:pPr>
            <w:r w:rsidRPr="009A08FE">
              <w:rPr>
                <w:color w:val="000000"/>
              </w:rPr>
              <w:t xml:space="preserve">Sule </w:t>
            </w:r>
            <w:proofErr w:type="spellStart"/>
            <w:r w:rsidRPr="009A08FE">
              <w:rPr>
                <w:color w:val="000000"/>
              </w:rPr>
              <w:t>Ozlev</w:t>
            </w:r>
            <w:proofErr w:type="spellEnd"/>
          </w:p>
        </w:tc>
        <w:tc>
          <w:tcPr>
            <w:tcW w:w="2430" w:type="dxa"/>
          </w:tcPr>
          <w:p w:rsidR="00C9215B" w:rsidRPr="009A60FD" w:rsidRDefault="00C9215B" w:rsidP="007039F9">
            <w:pPr>
              <w:spacing w:after="0" w:line="240" w:lineRule="auto"/>
              <w:rPr>
                <w:color w:val="000000"/>
              </w:rPr>
            </w:pPr>
            <w:r w:rsidRPr="009A60FD">
              <w:rPr>
                <w:color w:val="000000"/>
              </w:rPr>
              <w:t>David Allee</w:t>
            </w:r>
          </w:p>
        </w:tc>
        <w:tc>
          <w:tcPr>
            <w:tcW w:w="2430" w:type="dxa"/>
          </w:tcPr>
          <w:p w:rsidR="00C9215B" w:rsidRPr="009A60FD" w:rsidRDefault="00C9215B" w:rsidP="007039F9">
            <w:pPr>
              <w:spacing w:after="0" w:line="240" w:lineRule="auto"/>
              <w:rPr>
                <w:color w:val="000000"/>
              </w:rPr>
            </w:pPr>
            <w:proofErr w:type="spellStart"/>
            <w:r w:rsidRPr="00C9215B">
              <w:rPr>
                <w:color w:val="000000"/>
              </w:rPr>
              <w:t>Cun</w:t>
            </w:r>
            <w:proofErr w:type="spellEnd"/>
            <w:r w:rsidRPr="00C9215B">
              <w:rPr>
                <w:color w:val="000000"/>
              </w:rPr>
              <w:t>-Zheng Ning</w:t>
            </w:r>
          </w:p>
        </w:tc>
      </w:tr>
      <w:tr w:rsidR="00C9215B" w:rsidRPr="00C96A9A" w:rsidTr="00107F76">
        <w:tc>
          <w:tcPr>
            <w:tcW w:w="1080" w:type="dxa"/>
          </w:tcPr>
          <w:p w:rsidR="00C9215B" w:rsidRPr="00C96A9A" w:rsidRDefault="00C9215B" w:rsidP="007039F9">
            <w:pPr>
              <w:spacing w:after="0" w:line="240" w:lineRule="auto"/>
              <w:rPr>
                <w:color w:val="000000"/>
              </w:rPr>
            </w:pPr>
            <w:r w:rsidRPr="00C96A9A">
              <w:rPr>
                <w:color w:val="000000"/>
              </w:rPr>
              <w:t>SEMTE</w:t>
            </w:r>
          </w:p>
        </w:tc>
        <w:tc>
          <w:tcPr>
            <w:tcW w:w="2520" w:type="dxa"/>
          </w:tcPr>
          <w:p w:rsidR="00C9215B" w:rsidRPr="009A08FE" w:rsidRDefault="00C9215B" w:rsidP="007039F9">
            <w:pPr>
              <w:spacing w:after="0" w:line="240" w:lineRule="auto"/>
              <w:rPr>
                <w:color w:val="000000"/>
              </w:rPr>
            </w:pPr>
            <w:r w:rsidRPr="009A08FE">
              <w:rPr>
                <w:color w:val="000000"/>
              </w:rPr>
              <w:t>Hanqing Jiang</w:t>
            </w:r>
          </w:p>
        </w:tc>
        <w:tc>
          <w:tcPr>
            <w:tcW w:w="2430" w:type="dxa"/>
          </w:tcPr>
          <w:p w:rsidR="00C9215B" w:rsidRPr="009A08FE" w:rsidRDefault="00C9215B" w:rsidP="007039F9">
            <w:pPr>
              <w:spacing w:after="0" w:line="240" w:lineRule="auto"/>
              <w:rPr>
                <w:color w:val="000000"/>
              </w:rPr>
            </w:pPr>
            <w:bookmarkStart w:id="0" w:name="_GoBack"/>
            <w:r w:rsidRPr="009A08FE">
              <w:rPr>
                <w:color w:val="000000"/>
              </w:rPr>
              <w:t>Lenore Dai</w:t>
            </w:r>
            <w:bookmarkEnd w:id="0"/>
          </w:p>
        </w:tc>
        <w:tc>
          <w:tcPr>
            <w:tcW w:w="2430" w:type="dxa"/>
          </w:tcPr>
          <w:p w:rsidR="00C9215B" w:rsidRPr="009A60FD" w:rsidRDefault="005D0477" w:rsidP="007039F9">
            <w:pPr>
              <w:spacing w:after="0" w:line="240" w:lineRule="auto"/>
              <w:rPr>
                <w:color w:val="000000"/>
              </w:rPr>
            </w:pPr>
            <w:r>
              <w:rPr>
                <w:color w:val="000000"/>
              </w:rPr>
              <w:t xml:space="preserve">Greg </w:t>
            </w:r>
            <w:proofErr w:type="spellStart"/>
            <w:r>
              <w:rPr>
                <w:color w:val="000000"/>
              </w:rPr>
              <w:t>Raupp</w:t>
            </w:r>
            <w:proofErr w:type="spellEnd"/>
            <w:r>
              <w:rPr>
                <w:color w:val="000000"/>
              </w:rPr>
              <w:br/>
            </w:r>
            <w:r w:rsidR="00AB4688" w:rsidRPr="00AB4688">
              <w:rPr>
                <w:color w:val="000000"/>
              </w:rPr>
              <w:t>Marcus Herrmann</w:t>
            </w:r>
          </w:p>
        </w:tc>
      </w:tr>
      <w:tr w:rsidR="00C9215B" w:rsidRPr="00C96A9A" w:rsidTr="00107F76">
        <w:tc>
          <w:tcPr>
            <w:tcW w:w="1080" w:type="dxa"/>
          </w:tcPr>
          <w:p w:rsidR="00C9215B" w:rsidRPr="00C96A9A" w:rsidRDefault="00C9215B" w:rsidP="007039F9">
            <w:pPr>
              <w:spacing w:after="0" w:line="240" w:lineRule="auto"/>
              <w:rPr>
                <w:color w:val="000000"/>
              </w:rPr>
            </w:pPr>
            <w:r w:rsidRPr="00C96A9A">
              <w:rPr>
                <w:color w:val="000000"/>
              </w:rPr>
              <w:t>SSEBE</w:t>
            </w:r>
          </w:p>
        </w:tc>
        <w:tc>
          <w:tcPr>
            <w:tcW w:w="2520" w:type="dxa"/>
          </w:tcPr>
          <w:p w:rsidR="00C9215B" w:rsidRPr="009A08FE" w:rsidRDefault="00C9215B" w:rsidP="007039F9">
            <w:pPr>
              <w:spacing w:after="0" w:line="240" w:lineRule="auto"/>
              <w:rPr>
                <w:color w:val="000000"/>
              </w:rPr>
            </w:pPr>
            <w:r w:rsidRPr="009A08FE">
              <w:rPr>
                <w:color w:val="000000"/>
              </w:rPr>
              <w:t>Allan Chasey</w:t>
            </w:r>
          </w:p>
        </w:tc>
        <w:tc>
          <w:tcPr>
            <w:tcW w:w="2430" w:type="dxa"/>
          </w:tcPr>
          <w:p w:rsidR="00C9215B" w:rsidRPr="009A60FD" w:rsidRDefault="00C9215B" w:rsidP="007039F9">
            <w:pPr>
              <w:spacing w:after="0" w:line="240" w:lineRule="auto"/>
              <w:rPr>
                <w:color w:val="000000"/>
                <w:highlight w:val="yellow"/>
              </w:rPr>
            </w:pPr>
            <w:r w:rsidRPr="009A60FD">
              <w:rPr>
                <w:color w:val="000000"/>
              </w:rPr>
              <w:t>Narayanan Neithal</w:t>
            </w:r>
            <w:r>
              <w:rPr>
                <w:color w:val="000000"/>
              </w:rPr>
              <w:t>ath</w:t>
            </w:r>
          </w:p>
        </w:tc>
        <w:tc>
          <w:tcPr>
            <w:tcW w:w="2430" w:type="dxa"/>
          </w:tcPr>
          <w:p w:rsidR="00C9215B" w:rsidRPr="009A60FD" w:rsidRDefault="00AB4688" w:rsidP="007039F9">
            <w:pPr>
              <w:spacing w:after="0" w:line="240" w:lineRule="auto"/>
              <w:rPr>
                <w:color w:val="000000"/>
              </w:rPr>
            </w:pPr>
            <w:proofErr w:type="spellStart"/>
            <w:r>
              <w:t>Kenn</w:t>
            </w:r>
            <w:proofErr w:type="spellEnd"/>
            <w:r>
              <w:t xml:space="preserve"> Sullivan</w:t>
            </w:r>
          </w:p>
        </w:tc>
      </w:tr>
      <w:tr w:rsidR="00C9215B" w:rsidRPr="00C96A9A" w:rsidTr="00107F76">
        <w:tc>
          <w:tcPr>
            <w:tcW w:w="1080" w:type="dxa"/>
          </w:tcPr>
          <w:p w:rsidR="00C9215B" w:rsidRPr="00C96A9A" w:rsidRDefault="00C9215B" w:rsidP="00362027">
            <w:pPr>
              <w:spacing w:after="0" w:line="240" w:lineRule="auto"/>
              <w:rPr>
                <w:color w:val="000000"/>
              </w:rPr>
            </w:pPr>
            <w:r>
              <w:rPr>
                <w:color w:val="000000"/>
              </w:rPr>
              <w:t>Poly</w:t>
            </w:r>
          </w:p>
        </w:tc>
        <w:tc>
          <w:tcPr>
            <w:tcW w:w="2520" w:type="dxa"/>
          </w:tcPr>
          <w:p w:rsidR="00C9215B" w:rsidRPr="009A08FE" w:rsidRDefault="00C9215B" w:rsidP="007039F9">
            <w:pPr>
              <w:spacing w:after="0" w:line="240" w:lineRule="auto"/>
              <w:rPr>
                <w:color w:val="000000"/>
              </w:rPr>
            </w:pPr>
            <w:r w:rsidRPr="009A08FE">
              <w:rPr>
                <w:color w:val="000000"/>
              </w:rPr>
              <w:t>Chen-Yuan Kuo</w:t>
            </w:r>
          </w:p>
        </w:tc>
        <w:tc>
          <w:tcPr>
            <w:tcW w:w="2430" w:type="dxa"/>
          </w:tcPr>
          <w:p w:rsidR="00C9215B" w:rsidRPr="00C575FD" w:rsidRDefault="00C9215B" w:rsidP="007039F9">
            <w:pPr>
              <w:spacing w:after="0" w:line="240" w:lineRule="auto"/>
              <w:rPr>
                <w:color w:val="000000"/>
              </w:rPr>
            </w:pPr>
            <w:r w:rsidRPr="00C575FD">
              <w:rPr>
                <w:color w:val="000000"/>
              </w:rPr>
              <w:t>Shawn Jordan</w:t>
            </w:r>
          </w:p>
        </w:tc>
        <w:tc>
          <w:tcPr>
            <w:tcW w:w="2430" w:type="dxa"/>
          </w:tcPr>
          <w:p w:rsidR="00C9215B" w:rsidRPr="00C575FD" w:rsidRDefault="00676B81" w:rsidP="007039F9">
            <w:pPr>
              <w:spacing w:after="0" w:line="240" w:lineRule="auto"/>
              <w:rPr>
                <w:color w:val="000000"/>
              </w:rPr>
            </w:pPr>
            <w:r w:rsidRPr="00676B81">
              <w:rPr>
                <w:color w:val="000000"/>
              </w:rPr>
              <w:t>Nadia Kellam</w:t>
            </w:r>
          </w:p>
        </w:tc>
      </w:tr>
    </w:tbl>
    <w:p w:rsidR="007039F9" w:rsidRPr="00C96A9A" w:rsidRDefault="007039F9" w:rsidP="007039F9">
      <w:pPr>
        <w:ind w:firstLine="720"/>
        <w:rPr>
          <w:color w:val="000000"/>
        </w:rPr>
      </w:pPr>
      <w:r w:rsidRPr="00C96A9A">
        <w:rPr>
          <w:color w:val="000000"/>
        </w:rPr>
        <w:t>The Secretary’s term expires Oct. 2015.</w:t>
      </w:r>
    </w:p>
    <w:p w:rsidR="00E71E12" w:rsidRPr="00E71E12" w:rsidRDefault="00E71E12" w:rsidP="00E71E12">
      <w:pPr>
        <w:pStyle w:val="ListParagraph"/>
        <w:numPr>
          <w:ilvl w:val="0"/>
          <w:numId w:val="3"/>
        </w:numPr>
        <w:spacing w:line="240" w:lineRule="auto"/>
        <w:rPr>
          <w:u w:val="single"/>
        </w:rPr>
      </w:pPr>
      <w:proofErr w:type="gramStart"/>
      <w:r w:rsidRPr="00E71E12">
        <w:rPr>
          <w:u w:val="single"/>
        </w:rPr>
        <w:t>Approval of May Minutes</w:t>
      </w:r>
      <w:r>
        <w:t>.</w:t>
      </w:r>
      <w:proofErr w:type="gramEnd"/>
      <w:r>
        <w:t xml:space="preserve">  The </w:t>
      </w:r>
      <w:proofErr w:type="gramStart"/>
      <w:r>
        <w:t>meeting minutes of the April EC meeting were approved by the Committee</w:t>
      </w:r>
      <w:proofErr w:type="gramEnd"/>
      <w:r>
        <w:t>.</w:t>
      </w:r>
    </w:p>
    <w:p w:rsidR="00E71E12" w:rsidRPr="00E71E12" w:rsidRDefault="00E71E12" w:rsidP="00E71E12">
      <w:pPr>
        <w:pStyle w:val="ListParagraph"/>
        <w:spacing w:line="240" w:lineRule="auto"/>
        <w:ind w:left="1080"/>
        <w:rPr>
          <w:u w:val="single"/>
        </w:rPr>
      </w:pPr>
    </w:p>
    <w:p w:rsidR="00E71E12" w:rsidRDefault="00E71E12" w:rsidP="00E71E12">
      <w:pPr>
        <w:pStyle w:val="ListParagraph"/>
        <w:numPr>
          <w:ilvl w:val="0"/>
          <w:numId w:val="3"/>
        </w:numPr>
        <w:spacing w:line="240" w:lineRule="auto"/>
      </w:pPr>
      <w:proofErr w:type="gramStart"/>
      <w:r w:rsidRPr="00E71E12">
        <w:rPr>
          <w:b/>
          <w:u w:val="single"/>
        </w:rPr>
        <w:t>Faculty Recognition Programs</w:t>
      </w:r>
      <w:r>
        <w:t>.</w:t>
      </w:r>
      <w:proofErr w:type="gramEnd"/>
      <w:r>
        <w:t xml:space="preserve">  F</w:t>
      </w:r>
      <w:r w:rsidRPr="00A7617D">
        <w:t>eedback on the exemplar process</w:t>
      </w:r>
      <w:proofErr w:type="gramStart"/>
      <w:r>
        <w:t xml:space="preserve">.   </w:t>
      </w:r>
      <w:proofErr w:type="gramEnd"/>
      <w:r>
        <w:t>It will be important to spin up other faculty recognition programs this year.</w:t>
      </w:r>
    </w:p>
    <w:p w:rsidR="00E71E12" w:rsidRDefault="00E71E12" w:rsidP="00E71E12">
      <w:pPr>
        <w:pStyle w:val="ListParagraph"/>
        <w:spacing w:line="240" w:lineRule="auto"/>
        <w:ind w:left="1080"/>
      </w:pPr>
    </w:p>
    <w:p w:rsidR="00E71E12" w:rsidRDefault="00E71E12" w:rsidP="00E71E12">
      <w:pPr>
        <w:pStyle w:val="ListParagraph"/>
        <w:numPr>
          <w:ilvl w:val="0"/>
          <w:numId w:val="3"/>
        </w:numPr>
        <w:spacing w:line="240" w:lineRule="auto"/>
      </w:pPr>
      <w:proofErr w:type="gramStart"/>
      <w:r w:rsidRPr="00E71E12">
        <w:rPr>
          <w:b/>
          <w:u w:val="single"/>
        </w:rPr>
        <w:t>Faculty Evaluation Process</w:t>
      </w:r>
      <w:r>
        <w:t>.</w:t>
      </w:r>
      <w:proofErr w:type="gramEnd"/>
      <w:r>
        <w:t xml:space="preserve">  Last spring the Executive Committee </w:t>
      </w:r>
      <w:proofErr w:type="gramStart"/>
      <w:r>
        <w:t>was asked</w:t>
      </w:r>
      <w:proofErr w:type="gramEnd"/>
      <w:r>
        <w:t xml:space="preserve"> to examine the faculty evaluation process.  Specific questions posed to the EC include:  (1</w:t>
      </w:r>
      <w:proofErr w:type="gramStart"/>
      <w:r>
        <w:t>)  the</w:t>
      </w:r>
      <w:proofErr w:type="gramEnd"/>
      <w:r>
        <w:t xml:space="preserve"> expectations of an annual review from a faculty perspective; (2)  the potential to streamline the process; and (3)  the meaning of the scores and the weights used on the evaluation form.  The faculty evaluations are an important means of determining how things are going for faculty.  However these processes are labor intensive and it is important that they be improved</w:t>
      </w:r>
      <w:proofErr w:type="gramStart"/>
      <w:r>
        <w:t>.   A lot of this process is dictated by the University in the ACD manual, typically using a 3-year set of metrics</w:t>
      </w:r>
      <w:proofErr w:type="gramEnd"/>
      <w:r>
        <w:t>.  It is important that the school director meet with untenured faculty first; it will depend with full professors</w:t>
      </w:r>
      <w:proofErr w:type="gramStart"/>
      <w:r>
        <w:t xml:space="preserve">.   </w:t>
      </w:r>
      <w:proofErr w:type="gramEnd"/>
      <w:r>
        <w:t xml:space="preserve">Should the Program Chairs evaluate faculty for teaching?  There are inconsistencies across the </w:t>
      </w:r>
      <w:proofErr w:type="gramStart"/>
      <w:r>
        <w:t>units which</w:t>
      </w:r>
      <w:proofErr w:type="gramEnd"/>
      <w:r>
        <w:t xml:space="preserve"> has been acknowledged.  The levels of performance are assessed with a </w:t>
      </w:r>
      <w:proofErr w:type="gramStart"/>
      <w:r>
        <w:t>2</w:t>
      </w:r>
      <w:proofErr w:type="gramEnd"/>
      <w:r>
        <w:t>, 3 or 4.  The EC should develop a consensus on this.</w:t>
      </w:r>
    </w:p>
    <w:p w:rsidR="00E71E12" w:rsidRDefault="00E71E12" w:rsidP="00E71E12">
      <w:pPr>
        <w:pStyle w:val="ListParagraph"/>
        <w:spacing w:line="240" w:lineRule="auto"/>
        <w:ind w:left="1080"/>
      </w:pPr>
    </w:p>
    <w:p w:rsidR="00747289" w:rsidRDefault="00E71E12" w:rsidP="00747289">
      <w:pPr>
        <w:pStyle w:val="ListParagraph"/>
        <w:numPr>
          <w:ilvl w:val="0"/>
          <w:numId w:val="3"/>
        </w:numPr>
        <w:spacing w:line="240" w:lineRule="auto"/>
      </w:pPr>
      <w:proofErr w:type="gramStart"/>
      <w:r w:rsidRPr="00747289">
        <w:rPr>
          <w:b/>
          <w:u w:val="single"/>
        </w:rPr>
        <w:t>Dissertation Award</w:t>
      </w:r>
      <w:r>
        <w:t>.</w:t>
      </w:r>
      <w:proofErr w:type="gramEnd"/>
      <w:r>
        <w:t xml:space="preserve">  Spring semester </w:t>
      </w:r>
      <w:proofErr w:type="gramStart"/>
      <w:r>
        <w:t>was used</w:t>
      </w:r>
      <w:proofErr w:type="gramEnd"/>
      <w:r>
        <w:t xml:space="preserve"> for the inaugural Ph.D. Dissertation Award.  The process was confusing.  Units are responsible for choosing the outstanding students across all Engineering programs.  The deadlines involved with graduation </w:t>
      </w:r>
      <w:proofErr w:type="gramStart"/>
      <w:r>
        <w:t>should be incorporated</w:t>
      </w:r>
      <w:proofErr w:type="gramEnd"/>
      <w:r>
        <w:t xml:space="preserve"> into the award process.  What other changes </w:t>
      </w:r>
      <w:proofErr w:type="gramStart"/>
      <w:r>
        <w:t>should be made</w:t>
      </w:r>
      <w:proofErr w:type="gramEnd"/>
      <w:r>
        <w:t>?  The Interim Dean needs to be brought back into this conversation at some point</w:t>
      </w:r>
      <w:proofErr w:type="gramStart"/>
      <w:r>
        <w:t xml:space="preserve">. </w:t>
      </w:r>
      <w:r w:rsidR="00747289">
        <w:t xml:space="preserve">  </w:t>
      </w:r>
      <w:proofErr w:type="gramEnd"/>
      <w:r w:rsidR="00747289" w:rsidRPr="00747289">
        <w:rPr>
          <w:b/>
          <w:u w:val="single"/>
        </w:rPr>
        <w:t>Note</w:t>
      </w:r>
      <w:r w:rsidR="00747289" w:rsidRPr="00747289">
        <w:t>:</w:t>
      </w:r>
      <w:r w:rsidR="00747289">
        <w:t xml:space="preserve"> After the </w:t>
      </w:r>
      <w:r w:rsidR="00131514">
        <w:t xml:space="preserve">September </w:t>
      </w:r>
      <w:r w:rsidR="00747289">
        <w:t>meeting</w:t>
      </w:r>
      <w:r w:rsidR="00131514">
        <w:t>,</w:t>
      </w:r>
      <w:r w:rsidR="00747289">
        <w:t xml:space="preserve"> a check of the February 2015 EC meeting minutes found that </w:t>
      </w:r>
      <w:r w:rsidR="00131514">
        <w:t>a</w:t>
      </w:r>
      <w:r w:rsidR="00747289">
        <w:t xml:space="preserve"> dissertation award is supposed to be awarded for each </w:t>
      </w:r>
      <w:r w:rsidR="00747289" w:rsidRPr="00747289">
        <w:rPr>
          <w:u w:val="single"/>
        </w:rPr>
        <w:t>program</w:t>
      </w:r>
      <w:r w:rsidR="00747289">
        <w:t>.</w:t>
      </w:r>
    </w:p>
    <w:p w:rsidR="00E71E12" w:rsidRDefault="00E71E12" w:rsidP="00E71E12">
      <w:pPr>
        <w:pStyle w:val="ListParagraph"/>
        <w:spacing w:line="240" w:lineRule="auto"/>
        <w:ind w:left="1080"/>
      </w:pPr>
    </w:p>
    <w:p w:rsidR="00E71E12" w:rsidRDefault="00E71E12" w:rsidP="00E71E12">
      <w:pPr>
        <w:pStyle w:val="ListParagraph"/>
        <w:numPr>
          <w:ilvl w:val="0"/>
          <w:numId w:val="3"/>
        </w:numPr>
        <w:spacing w:line="240" w:lineRule="auto"/>
      </w:pPr>
      <w:r w:rsidRPr="00E71E12">
        <w:rPr>
          <w:b/>
          <w:u w:val="single"/>
        </w:rPr>
        <w:t>Faculty Promotion Documents for EC Review</w:t>
      </w:r>
      <w:r>
        <w:t xml:space="preserve">.  There will be communication from the Interim Dean in the near future regarding EC’s role in this review process.  </w:t>
      </w:r>
    </w:p>
    <w:p w:rsidR="00E71E12" w:rsidRDefault="00E71E12" w:rsidP="00E71E12">
      <w:pPr>
        <w:pStyle w:val="ListParagraph"/>
        <w:spacing w:line="240" w:lineRule="auto"/>
        <w:ind w:left="1080"/>
      </w:pPr>
    </w:p>
    <w:p w:rsidR="00E71E12" w:rsidRDefault="00E71E12" w:rsidP="00E71E12">
      <w:pPr>
        <w:pStyle w:val="ListParagraph"/>
        <w:numPr>
          <w:ilvl w:val="0"/>
          <w:numId w:val="3"/>
        </w:numPr>
        <w:spacing w:line="240" w:lineRule="auto"/>
      </w:pPr>
      <w:proofErr w:type="gramStart"/>
      <w:r w:rsidRPr="00E71E12">
        <w:rPr>
          <w:b/>
          <w:u w:val="single"/>
        </w:rPr>
        <w:t>Selection of New EC Chair/</w:t>
      </w:r>
      <w:proofErr w:type="spellStart"/>
      <w:r w:rsidRPr="00E71E12">
        <w:rPr>
          <w:b/>
          <w:u w:val="single"/>
        </w:rPr>
        <w:t>Secty</w:t>
      </w:r>
      <w:proofErr w:type="spellEnd"/>
      <w:r>
        <w:t>.</w:t>
      </w:r>
      <w:proofErr w:type="gramEnd"/>
      <w:r>
        <w:t xml:space="preserve">  The Executive Committee will need to identify a new chair per the FSE Bylaws document.  The FSE will need to identify a new </w:t>
      </w:r>
      <w:r w:rsidR="00BA2F67">
        <w:t>Secretary</w:t>
      </w:r>
      <w:r>
        <w:t xml:space="preserve"> per the FSE Bylaws.</w:t>
      </w:r>
    </w:p>
    <w:p w:rsidR="00E71E12" w:rsidRPr="00423202" w:rsidRDefault="00E71E12" w:rsidP="00E71E12">
      <w:pPr>
        <w:spacing w:line="240" w:lineRule="auto"/>
        <w:contextualSpacing/>
        <w:jc w:val="center"/>
        <w:rPr>
          <w:b/>
        </w:rPr>
      </w:pPr>
      <w:r w:rsidRPr="00423202">
        <w:rPr>
          <w:b/>
        </w:rPr>
        <w:t xml:space="preserve">Next Lunch Meeting: </w:t>
      </w:r>
    </w:p>
    <w:p w:rsidR="00E71E12" w:rsidRPr="00423202" w:rsidRDefault="00E71E12" w:rsidP="00E71E12">
      <w:pPr>
        <w:spacing w:line="240" w:lineRule="auto"/>
        <w:contextualSpacing/>
        <w:jc w:val="center"/>
        <w:rPr>
          <w:b/>
        </w:rPr>
      </w:pPr>
      <w:r w:rsidRPr="00423202">
        <w:rPr>
          <w:b/>
        </w:rPr>
        <w:t xml:space="preserve">Friday, October 2, 2015; </w:t>
      </w:r>
      <w:r w:rsidRPr="00423202">
        <w:rPr>
          <w:b/>
          <w:color w:val="FF0000"/>
          <w:u w:val="single"/>
        </w:rPr>
        <w:t>BY 655</w:t>
      </w:r>
      <w:r w:rsidRPr="00423202">
        <w:rPr>
          <w:b/>
          <w:color w:val="FF0000"/>
        </w:rPr>
        <w:t xml:space="preserve"> </w:t>
      </w:r>
    </w:p>
    <w:p w:rsidR="00E71E12" w:rsidRDefault="00E71E12" w:rsidP="00E71E12">
      <w:pPr>
        <w:spacing w:line="240" w:lineRule="auto"/>
        <w:jc w:val="center"/>
      </w:pPr>
    </w:p>
    <w:sectPr w:rsidR="00E71E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7F6" w:rsidRDefault="00AD17F6" w:rsidP="007039F9">
      <w:pPr>
        <w:spacing w:after="0" w:line="240" w:lineRule="auto"/>
      </w:pPr>
      <w:r>
        <w:separator/>
      </w:r>
    </w:p>
  </w:endnote>
  <w:endnote w:type="continuationSeparator" w:id="0">
    <w:p w:rsidR="00AD17F6" w:rsidRDefault="00AD17F6" w:rsidP="00703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7F6" w:rsidRDefault="00AD17F6" w:rsidP="007039F9">
      <w:pPr>
        <w:spacing w:after="0" w:line="240" w:lineRule="auto"/>
      </w:pPr>
      <w:r>
        <w:separator/>
      </w:r>
    </w:p>
  </w:footnote>
  <w:footnote w:type="continuationSeparator" w:id="0">
    <w:p w:rsidR="00AD17F6" w:rsidRDefault="00AD17F6" w:rsidP="007039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546756"/>
    <w:multiLevelType w:val="hybridMultilevel"/>
    <w:tmpl w:val="45AC2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420DB4"/>
    <w:multiLevelType w:val="hybridMultilevel"/>
    <w:tmpl w:val="AA3650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1924835"/>
    <w:multiLevelType w:val="hybridMultilevel"/>
    <w:tmpl w:val="66F09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AE7"/>
    <w:rsid w:val="000239E3"/>
    <w:rsid w:val="000842E2"/>
    <w:rsid w:val="00095292"/>
    <w:rsid w:val="000A4C8B"/>
    <w:rsid w:val="000C68D0"/>
    <w:rsid w:val="000F4EAC"/>
    <w:rsid w:val="00131514"/>
    <w:rsid w:val="00143ADE"/>
    <w:rsid w:val="00157197"/>
    <w:rsid w:val="001A460D"/>
    <w:rsid w:val="001A632B"/>
    <w:rsid w:val="00200452"/>
    <w:rsid w:val="002156D2"/>
    <w:rsid w:val="00282369"/>
    <w:rsid w:val="002B0287"/>
    <w:rsid w:val="00342114"/>
    <w:rsid w:val="00362027"/>
    <w:rsid w:val="00443C29"/>
    <w:rsid w:val="004F5637"/>
    <w:rsid w:val="005D0477"/>
    <w:rsid w:val="00676B81"/>
    <w:rsid w:val="006E0131"/>
    <w:rsid w:val="007039F9"/>
    <w:rsid w:val="00747289"/>
    <w:rsid w:val="00747566"/>
    <w:rsid w:val="007B41BC"/>
    <w:rsid w:val="007D00C9"/>
    <w:rsid w:val="00842213"/>
    <w:rsid w:val="008838FF"/>
    <w:rsid w:val="008E4229"/>
    <w:rsid w:val="00947078"/>
    <w:rsid w:val="0096680D"/>
    <w:rsid w:val="0098219E"/>
    <w:rsid w:val="009832F5"/>
    <w:rsid w:val="009A08FE"/>
    <w:rsid w:val="009B32B0"/>
    <w:rsid w:val="009C3344"/>
    <w:rsid w:val="00A30C3D"/>
    <w:rsid w:val="00A85B76"/>
    <w:rsid w:val="00AA6293"/>
    <w:rsid w:val="00AB4688"/>
    <w:rsid w:val="00AD17F6"/>
    <w:rsid w:val="00BA2F67"/>
    <w:rsid w:val="00BB6BD9"/>
    <w:rsid w:val="00BC0924"/>
    <w:rsid w:val="00C06965"/>
    <w:rsid w:val="00C23347"/>
    <w:rsid w:val="00C9215B"/>
    <w:rsid w:val="00D322F6"/>
    <w:rsid w:val="00D517F7"/>
    <w:rsid w:val="00D70A42"/>
    <w:rsid w:val="00D90BC5"/>
    <w:rsid w:val="00D93B8F"/>
    <w:rsid w:val="00D9645E"/>
    <w:rsid w:val="00E71E12"/>
    <w:rsid w:val="00E861E0"/>
    <w:rsid w:val="00EB08BA"/>
    <w:rsid w:val="00ED3AE7"/>
    <w:rsid w:val="00EF1767"/>
    <w:rsid w:val="00F3112F"/>
    <w:rsid w:val="00F45A9D"/>
    <w:rsid w:val="00FB2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AE7"/>
    <w:pPr>
      <w:ind w:left="720"/>
      <w:contextualSpacing/>
    </w:pPr>
  </w:style>
  <w:style w:type="paragraph" w:styleId="FootnoteText">
    <w:name w:val="footnote text"/>
    <w:basedOn w:val="Normal"/>
    <w:link w:val="FootnoteTextChar"/>
    <w:semiHidden/>
    <w:rsid w:val="007039F9"/>
    <w:pPr>
      <w:spacing w:after="0" w:line="240" w:lineRule="auto"/>
    </w:pPr>
    <w:rPr>
      <w:rFonts w:ascii="Calibri" w:eastAsia="Times New Roman" w:hAnsi="Calibri" w:cs="Times New Roman"/>
      <w:sz w:val="20"/>
      <w:szCs w:val="20"/>
      <w:lang w:eastAsia="ko-KR"/>
    </w:rPr>
  </w:style>
  <w:style w:type="character" w:customStyle="1" w:styleId="FootnoteTextChar">
    <w:name w:val="Footnote Text Char"/>
    <w:basedOn w:val="DefaultParagraphFont"/>
    <w:link w:val="FootnoteText"/>
    <w:semiHidden/>
    <w:rsid w:val="007039F9"/>
    <w:rPr>
      <w:rFonts w:ascii="Calibri" w:eastAsia="Times New Roman" w:hAnsi="Calibri" w:cs="Times New Roman"/>
      <w:sz w:val="20"/>
      <w:szCs w:val="20"/>
      <w:lang w:eastAsia="ko-KR"/>
    </w:rPr>
  </w:style>
  <w:style w:type="character" w:styleId="FootnoteReference">
    <w:name w:val="footnote reference"/>
    <w:semiHidden/>
    <w:rsid w:val="007039F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AE7"/>
    <w:pPr>
      <w:ind w:left="720"/>
      <w:contextualSpacing/>
    </w:pPr>
  </w:style>
  <w:style w:type="paragraph" w:styleId="FootnoteText">
    <w:name w:val="footnote text"/>
    <w:basedOn w:val="Normal"/>
    <w:link w:val="FootnoteTextChar"/>
    <w:semiHidden/>
    <w:rsid w:val="007039F9"/>
    <w:pPr>
      <w:spacing w:after="0" w:line="240" w:lineRule="auto"/>
    </w:pPr>
    <w:rPr>
      <w:rFonts w:ascii="Calibri" w:eastAsia="Times New Roman" w:hAnsi="Calibri" w:cs="Times New Roman"/>
      <w:sz w:val="20"/>
      <w:szCs w:val="20"/>
      <w:lang w:eastAsia="ko-KR"/>
    </w:rPr>
  </w:style>
  <w:style w:type="character" w:customStyle="1" w:styleId="FootnoteTextChar">
    <w:name w:val="Footnote Text Char"/>
    <w:basedOn w:val="DefaultParagraphFont"/>
    <w:link w:val="FootnoteText"/>
    <w:semiHidden/>
    <w:rsid w:val="007039F9"/>
    <w:rPr>
      <w:rFonts w:ascii="Calibri" w:eastAsia="Times New Roman" w:hAnsi="Calibri" w:cs="Times New Roman"/>
      <w:sz w:val="20"/>
      <w:szCs w:val="20"/>
      <w:lang w:eastAsia="ko-KR"/>
    </w:rPr>
  </w:style>
  <w:style w:type="character" w:styleId="FootnoteReference">
    <w:name w:val="footnote reference"/>
    <w:semiHidden/>
    <w:rsid w:val="007039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07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C2CF2-01B4-4883-9198-520DEE2B1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Bowers</dc:creator>
  <cp:lastModifiedBy>Keith Holbert</cp:lastModifiedBy>
  <cp:revision>19</cp:revision>
  <dcterms:created xsi:type="dcterms:W3CDTF">2015-09-03T18:20:00Z</dcterms:created>
  <dcterms:modified xsi:type="dcterms:W3CDTF">2015-09-28T20:56:00Z</dcterms:modified>
</cp:coreProperties>
</file>